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FC" w:rsidRPr="0015467B" w:rsidRDefault="00280B5C" w:rsidP="003C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7B">
        <w:rPr>
          <w:rFonts w:ascii="Times New Roman" w:hAnsi="Times New Roman" w:cs="Times New Roman"/>
          <w:b/>
          <w:sz w:val="24"/>
          <w:szCs w:val="24"/>
        </w:rPr>
        <w:t>Девиз Всемирного дня прав потребителей</w:t>
      </w:r>
      <w:r w:rsidR="003C1B6D" w:rsidRPr="0015467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C1B6D" w:rsidRPr="003C1B6D">
        <w:rPr>
          <w:rFonts w:ascii="Times New Roman" w:hAnsi="Times New Roman" w:cs="Times New Roman"/>
          <w:b/>
          <w:sz w:val="24"/>
          <w:szCs w:val="24"/>
        </w:rPr>
        <w:t>15 марта</w:t>
      </w:r>
    </w:p>
    <w:p w:rsidR="00782CFC" w:rsidRPr="0015467B" w:rsidRDefault="00782CFC" w:rsidP="00280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B6D" w:rsidRPr="0015467B" w:rsidRDefault="003C1B6D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03A" w:rsidRDefault="00782CFC" w:rsidP="0070583A">
      <w:pPr>
        <w:tabs>
          <w:tab w:val="left" w:pos="496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 xml:space="preserve">15.03.2022 состоится празднование Всемирного дня </w:t>
      </w:r>
      <w:r w:rsidR="00EA0FF8">
        <w:rPr>
          <w:rFonts w:ascii="Times New Roman" w:hAnsi="Times New Roman" w:cs="Times New Roman"/>
          <w:sz w:val="24"/>
          <w:szCs w:val="24"/>
        </w:rPr>
        <w:t xml:space="preserve">прав </w:t>
      </w:r>
      <w:r w:rsidRPr="0015467B">
        <w:rPr>
          <w:rFonts w:ascii="Times New Roman" w:hAnsi="Times New Roman" w:cs="Times New Roman"/>
          <w:sz w:val="24"/>
          <w:szCs w:val="24"/>
        </w:rPr>
        <w:t xml:space="preserve">потребителей под девизом </w:t>
      </w:r>
      <w:r w:rsidR="0090403A" w:rsidRPr="002621A7">
        <w:rPr>
          <w:rFonts w:ascii="Times New Roman" w:hAnsi="Times New Roman"/>
          <w:sz w:val="24"/>
          <w:szCs w:val="24"/>
        </w:rPr>
        <w:t>15 марта 202</w:t>
      </w:r>
      <w:r w:rsidR="0090403A">
        <w:rPr>
          <w:rFonts w:ascii="Times New Roman" w:hAnsi="Times New Roman"/>
          <w:sz w:val="24"/>
          <w:szCs w:val="24"/>
        </w:rPr>
        <w:t>2</w:t>
      </w:r>
      <w:r w:rsidR="0090403A" w:rsidRPr="002621A7">
        <w:rPr>
          <w:rFonts w:ascii="Times New Roman" w:hAnsi="Times New Roman"/>
          <w:sz w:val="24"/>
          <w:szCs w:val="24"/>
        </w:rPr>
        <w:t xml:space="preserve"> года Всемирный день прав потребителей пройдет под девизом </w:t>
      </w:r>
      <w:r w:rsidR="0090403A">
        <w:rPr>
          <w:rFonts w:ascii="Times New Roman" w:hAnsi="Times New Roman"/>
          <w:sz w:val="24"/>
          <w:szCs w:val="24"/>
        </w:rPr>
        <w:t>«</w:t>
      </w:r>
      <w:r w:rsidR="0090403A" w:rsidRPr="0015467B">
        <w:rPr>
          <w:rFonts w:ascii="Times New Roman" w:hAnsi="Times New Roman" w:cs="Times New Roman"/>
          <w:b/>
          <w:sz w:val="24"/>
          <w:szCs w:val="24"/>
        </w:rPr>
        <w:t>Справедливые цифровые финансовые услуги»</w:t>
      </w:r>
      <w:r w:rsidR="0090403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040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0403A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904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03A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904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03A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="0090403A">
        <w:rPr>
          <w:rFonts w:ascii="Times New Roman" w:hAnsi="Times New Roman" w:cs="Times New Roman"/>
          <w:sz w:val="24"/>
          <w:szCs w:val="24"/>
        </w:rPr>
        <w:t>).</w:t>
      </w:r>
      <w:r w:rsidR="0090403A" w:rsidRPr="00154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03A" w:rsidRPr="0015467B" w:rsidRDefault="0090403A" w:rsidP="0070583A">
      <w:pPr>
        <w:tabs>
          <w:tab w:val="left" w:pos="4962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5C" w:rsidRPr="0015467B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 xml:space="preserve">Пандемия СOVID-19 усилила тенденцию, связанную с развитием цифровых услуг. </w:t>
      </w:r>
    </w:p>
    <w:p w:rsidR="00280B5C" w:rsidRPr="0015467B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 xml:space="preserve">Исследования показывают, насколько быстро происходит развитие цифровых финансов. </w:t>
      </w:r>
    </w:p>
    <w:p w:rsidR="0015467B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 xml:space="preserve">В развивающихся странах компании считают внедрение финансовых технологий своим    приоритетом. </w:t>
      </w:r>
    </w:p>
    <w:p w:rsidR="0015467B" w:rsidRDefault="0015467B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5C" w:rsidRPr="0015467B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 xml:space="preserve">По подсчетам аналитиков по итогам 2010–2018 годов был выявлен феноменальный, 30-кратный рост числа безналичных карточных транзакций до 172 в год на человека. В 2020 году </w:t>
      </w:r>
      <w:r w:rsidRPr="00BA1F51">
        <w:rPr>
          <w:rFonts w:ascii="Times New Roman" w:hAnsi="Times New Roman" w:cs="Times New Roman"/>
          <w:b/>
          <w:sz w:val="24"/>
          <w:szCs w:val="24"/>
        </w:rPr>
        <w:t>Россия вошла в топ-5 стран по отказу от наличных платежей</w:t>
      </w:r>
      <w:r w:rsidRPr="0015467B">
        <w:rPr>
          <w:rFonts w:ascii="Times New Roman" w:hAnsi="Times New Roman" w:cs="Times New Roman"/>
          <w:sz w:val="24"/>
          <w:szCs w:val="24"/>
        </w:rPr>
        <w:t>.</w:t>
      </w:r>
    </w:p>
    <w:p w:rsidR="0015467B" w:rsidRDefault="0015467B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5C" w:rsidRPr="0015467B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>Однако в таких условиях существенно возрастает и риск финансового мошенничества.</w:t>
      </w:r>
    </w:p>
    <w:p w:rsidR="00280B5C" w:rsidRPr="0015467B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 xml:space="preserve">Финансовые организации зачастую не разъясняют клиентам как эффективно и безопасно пользоваться услугой. </w:t>
      </w:r>
      <w:r w:rsidRPr="00BA1F51">
        <w:rPr>
          <w:rFonts w:ascii="Times New Roman" w:hAnsi="Times New Roman" w:cs="Times New Roman"/>
          <w:b/>
          <w:sz w:val="24"/>
          <w:szCs w:val="24"/>
        </w:rPr>
        <w:t>В результате доверчивые и пожилые клиенты становятся объектом интереса для мошенников</w:t>
      </w:r>
      <w:r w:rsidRPr="00154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67B" w:rsidRDefault="0015467B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41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>В настоящее время отмечается рост интереса обычных граждан к инвестированию. Наибольшей популярностью у физических лиц пользуются вложения в ценные бумаги через брокерские счета.</w:t>
      </w:r>
      <w:r w:rsidR="00BA1F51">
        <w:rPr>
          <w:rFonts w:ascii="Times New Roman" w:hAnsi="Times New Roman" w:cs="Times New Roman"/>
          <w:sz w:val="24"/>
          <w:szCs w:val="24"/>
        </w:rPr>
        <w:t xml:space="preserve"> По </w:t>
      </w:r>
      <w:r w:rsidR="00BA1F51" w:rsidRPr="0015467B">
        <w:rPr>
          <w:rFonts w:ascii="Times New Roman" w:hAnsi="Times New Roman" w:cs="Times New Roman"/>
          <w:sz w:val="24"/>
          <w:szCs w:val="24"/>
        </w:rPr>
        <w:t>данны</w:t>
      </w:r>
      <w:r w:rsidR="00BA1F51">
        <w:rPr>
          <w:rFonts w:ascii="Times New Roman" w:hAnsi="Times New Roman" w:cs="Times New Roman"/>
          <w:sz w:val="24"/>
          <w:szCs w:val="24"/>
        </w:rPr>
        <w:t>м</w:t>
      </w:r>
      <w:r w:rsidR="00BA1F51" w:rsidRPr="0015467B">
        <w:rPr>
          <w:rFonts w:ascii="Times New Roman" w:hAnsi="Times New Roman" w:cs="Times New Roman"/>
          <w:sz w:val="24"/>
          <w:szCs w:val="24"/>
        </w:rPr>
        <w:t xml:space="preserve"> опубликованн</w:t>
      </w:r>
      <w:r w:rsidR="00BA1F51">
        <w:rPr>
          <w:rFonts w:ascii="Times New Roman" w:hAnsi="Times New Roman" w:cs="Times New Roman"/>
          <w:sz w:val="24"/>
          <w:szCs w:val="24"/>
        </w:rPr>
        <w:t>ым</w:t>
      </w:r>
      <w:r w:rsidR="00BA1F51" w:rsidRPr="0015467B">
        <w:rPr>
          <w:rFonts w:ascii="Times New Roman" w:hAnsi="Times New Roman" w:cs="Times New Roman"/>
          <w:sz w:val="24"/>
          <w:szCs w:val="24"/>
        </w:rPr>
        <w:t xml:space="preserve"> Центробанком</w:t>
      </w:r>
      <w:r w:rsidR="00BA1F51">
        <w:rPr>
          <w:rFonts w:ascii="Times New Roman" w:hAnsi="Times New Roman" w:cs="Times New Roman"/>
          <w:sz w:val="24"/>
          <w:szCs w:val="24"/>
        </w:rPr>
        <w:t xml:space="preserve"> в</w:t>
      </w:r>
      <w:r w:rsidR="00BA1F51" w:rsidRPr="0015467B">
        <w:rPr>
          <w:rFonts w:ascii="Times New Roman" w:hAnsi="Times New Roman" w:cs="Times New Roman"/>
          <w:sz w:val="24"/>
          <w:szCs w:val="24"/>
        </w:rPr>
        <w:t xml:space="preserve"> «Обзоре российского финансового сектора и финансовых инструментов»</w:t>
      </w:r>
      <w:r w:rsidR="00BA1F51">
        <w:rPr>
          <w:rFonts w:ascii="Times New Roman" w:hAnsi="Times New Roman" w:cs="Times New Roman"/>
          <w:sz w:val="24"/>
          <w:szCs w:val="24"/>
        </w:rPr>
        <w:t xml:space="preserve">, </w:t>
      </w:r>
      <w:r w:rsidR="00BA1F51" w:rsidRPr="00BA1F51">
        <w:rPr>
          <w:rFonts w:ascii="Times New Roman" w:hAnsi="Times New Roman" w:cs="Times New Roman"/>
          <w:b/>
          <w:sz w:val="24"/>
          <w:szCs w:val="24"/>
        </w:rPr>
        <w:t>д</w:t>
      </w:r>
      <w:r w:rsidR="005D2B41" w:rsidRPr="00BA1F51">
        <w:rPr>
          <w:rFonts w:ascii="Times New Roman" w:hAnsi="Times New Roman" w:cs="Times New Roman"/>
          <w:b/>
          <w:sz w:val="24"/>
          <w:szCs w:val="24"/>
        </w:rPr>
        <w:t>оля вложений физических лиц в инструменты, возвратность которых не гарантирована, в 2020 году увеличилась и достигла 51%.</w:t>
      </w:r>
      <w:r w:rsidR="005D2B41" w:rsidRPr="00154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7B" w:rsidRPr="0015467B" w:rsidRDefault="0015467B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CFC" w:rsidRPr="00535230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7B">
        <w:rPr>
          <w:rFonts w:ascii="Times New Roman" w:hAnsi="Times New Roman" w:cs="Times New Roman"/>
          <w:sz w:val="24"/>
          <w:szCs w:val="24"/>
        </w:rPr>
        <w:t xml:space="preserve">Быстро развивающийся и сложный характер цифровых финансовых услуг демонстрирует потребность в инновационных подходах к регулированию в основе которых лежит защита и расширение </w:t>
      </w:r>
      <w:r w:rsidRPr="00535230">
        <w:rPr>
          <w:rFonts w:ascii="Times New Roman" w:hAnsi="Times New Roman" w:cs="Times New Roman"/>
          <w:sz w:val="24"/>
          <w:szCs w:val="24"/>
        </w:rPr>
        <w:t xml:space="preserve">прав и возможностей потребителей. </w:t>
      </w:r>
    </w:p>
    <w:p w:rsidR="00782CFC" w:rsidRPr="00535230" w:rsidRDefault="00782CF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5C" w:rsidRPr="00535230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230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535230">
        <w:rPr>
          <w:rFonts w:ascii="Times New Roman" w:hAnsi="Times New Roman" w:cs="Times New Roman"/>
          <w:sz w:val="24"/>
          <w:szCs w:val="24"/>
        </w:rPr>
        <w:t xml:space="preserve"> неоднократно указывал, что требуется изменение механизмов защиты прав потребителей финансовых услуг по переводу денежных средств, в связи с низким уровнем безопасности таких операций.</w:t>
      </w:r>
    </w:p>
    <w:p w:rsidR="00280B5C" w:rsidRPr="0015467B" w:rsidRDefault="00280B5C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30" w:rsidRDefault="00535230" w:rsidP="0070583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795EB0">
        <w:rPr>
          <w:rStyle w:val="markedcontent"/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795EB0">
        <w:rPr>
          <w:rStyle w:val="markedcontent"/>
          <w:rFonts w:ascii="Times New Roman" w:hAnsi="Times New Roman" w:cs="Times New Roman"/>
          <w:sz w:val="24"/>
          <w:szCs w:val="24"/>
        </w:rPr>
        <w:t xml:space="preserve"> финансовых услуг – это и новые возможности, и дополнительные риски</w:t>
      </w:r>
      <w:r w:rsidRPr="00795EB0">
        <w:rPr>
          <w:rFonts w:ascii="Times New Roman" w:hAnsi="Times New Roman" w:cs="Times New Roman"/>
          <w:sz w:val="24"/>
          <w:szCs w:val="24"/>
        </w:rPr>
        <w:br/>
      </w:r>
      <w:r w:rsidRPr="00795EB0">
        <w:rPr>
          <w:rStyle w:val="markedcontent"/>
          <w:rFonts w:ascii="Times New Roman" w:hAnsi="Times New Roman" w:cs="Times New Roman"/>
          <w:sz w:val="24"/>
          <w:szCs w:val="24"/>
        </w:rPr>
        <w:t>для потребителя. В настоящее время цифровая финансовая грамотность – необходимое,</w:t>
      </w:r>
      <w:r w:rsidRPr="00795EB0">
        <w:rPr>
          <w:rFonts w:ascii="Times New Roman" w:hAnsi="Times New Roman" w:cs="Times New Roman"/>
          <w:sz w:val="24"/>
          <w:szCs w:val="24"/>
        </w:rPr>
        <w:br/>
      </w:r>
      <w:r w:rsidRPr="00795EB0">
        <w:rPr>
          <w:rStyle w:val="markedcontent"/>
          <w:rFonts w:ascii="Times New Roman" w:hAnsi="Times New Roman" w:cs="Times New Roman"/>
          <w:sz w:val="24"/>
          <w:szCs w:val="24"/>
        </w:rPr>
        <w:t xml:space="preserve">но недостаточное условие обеспечения финансового </w:t>
      </w:r>
      <w:r w:rsidR="0070583A">
        <w:rPr>
          <w:rStyle w:val="markedcontent"/>
          <w:rFonts w:ascii="Times New Roman" w:hAnsi="Times New Roman" w:cs="Times New Roman"/>
          <w:sz w:val="24"/>
          <w:szCs w:val="24"/>
        </w:rPr>
        <w:t>благополучия</w:t>
      </w:r>
      <w:r w:rsidRPr="00795EB0">
        <w:rPr>
          <w:rStyle w:val="markedcontent"/>
          <w:rFonts w:ascii="Times New Roman" w:hAnsi="Times New Roman" w:cs="Times New Roman"/>
          <w:sz w:val="24"/>
          <w:szCs w:val="24"/>
        </w:rPr>
        <w:t xml:space="preserve"> потребителя.</w:t>
      </w:r>
      <w:r w:rsidRPr="00795EB0">
        <w:rPr>
          <w:rFonts w:ascii="Times New Roman" w:hAnsi="Times New Roman" w:cs="Times New Roman"/>
          <w:sz w:val="24"/>
          <w:szCs w:val="24"/>
        </w:rPr>
        <w:br/>
      </w:r>
      <w:r w:rsidRPr="00795EB0">
        <w:rPr>
          <w:rStyle w:val="markedcontent"/>
          <w:rFonts w:ascii="Times New Roman" w:hAnsi="Times New Roman" w:cs="Times New Roman"/>
          <w:sz w:val="24"/>
          <w:szCs w:val="24"/>
        </w:rPr>
        <w:t>Поиск баланса между финансовой доступностью и защитой прав потребителей</w:t>
      </w:r>
      <w:r w:rsidRPr="00795EB0">
        <w:rPr>
          <w:rFonts w:ascii="Times New Roman" w:hAnsi="Times New Roman" w:cs="Times New Roman"/>
          <w:sz w:val="24"/>
          <w:szCs w:val="24"/>
        </w:rPr>
        <w:br/>
      </w:r>
      <w:r w:rsidRPr="00795EB0">
        <w:rPr>
          <w:rStyle w:val="markedcontent"/>
          <w:rFonts w:ascii="Times New Roman" w:hAnsi="Times New Roman" w:cs="Times New Roman"/>
          <w:sz w:val="24"/>
          <w:szCs w:val="24"/>
        </w:rPr>
        <w:t>финансовых услуг – сложная задача, требующая координации различных сегментов</w:t>
      </w:r>
      <w:r w:rsidRPr="00795EB0">
        <w:rPr>
          <w:rFonts w:ascii="Times New Roman" w:hAnsi="Times New Roman" w:cs="Times New Roman"/>
          <w:sz w:val="24"/>
          <w:szCs w:val="24"/>
        </w:rPr>
        <w:br/>
      </w:r>
      <w:r w:rsidRPr="00795EB0">
        <w:rPr>
          <w:rStyle w:val="markedcontent"/>
          <w:rFonts w:ascii="Times New Roman" w:hAnsi="Times New Roman" w:cs="Times New Roman"/>
          <w:sz w:val="24"/>
          <w:szCs w:val="24"/>
        </w:rPr>
        <w:t>профессионального сообщества в сфере финансовой грамотности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35230" w:rsidRDefault="00535230" w:rsidP="0070583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35230" w:rsidRPr="00795EB0" w:rsidRDefault="00535230" w:rsidP="007058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EB0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95EB0">
        <w:rPr>
          <w:rFonts w:ascii="Times New Roman" w:hAnsi="Times New Roman" w:cs="Times New Roman"/>
          <w:sz w:val="24"/>
          <w:szCs w:val="24"/>
        </w:rPr>
        <w:t xml:space="preserve"> и его подведомственные организации </w:t>
      </w:r>
      <w:r w:rsidRPr="00535230">
        <w:rPr>
          <w:rFonts w:ascii="Times New Roman" w:hAnsi="Times New Roman" w:cs="Times New Roman"/>
          <w:sz w:val="24"/>
          <w:szCs w:val="24"/>
        </w:rPr>
        <w:t>являются</w:t>
      </w:r>
      <w:r w:rsidRPr="00795EB0">
        <w:rPr>
          <w:rFonts w:ascii="Times New Roman" w:hAnsi="Times New Roman" w:cs="Times New Roman"/>
          <w:sz w:val="24"/>
          <w:szCs w:val="24"/>
        </w:rPr>
        <w:t xml:space="preserve"> участниками реализации </w:t>
      </w:r>
      <w:r w:rsidRPr="00795EB0">
        <w:rPr>
          <w:rFonts w:ascii="Times New Roman" w:hAnsi="Times New Roman" w:cs="Times New Roman"/>
          <w:b/>
          <w:sz w:val="24"/>
          <w:szCs w:val="24"/>
        </w:rPr>
        <w:t>Стратегии повышения финансовой грамотности в Российской Федерации на 2017-2023 годы</w:t>
      </w:r>
      <w:r>
        <w:rPr>
          <w:rFonts w:ascii="Times New Roman" w:hAnsi="Times New Roman" w:cs="Times New Roman"/>
          <w:sz w:val="24"/>
          <w:szCs w:val="24"/>
        </w:rPr>
        <w:t>, э</w:t>
      </w:r>
      <w:r w:rsidRPr="00795EB0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5EB0">
        <w:rPr>
          <w:rFonts w:ascii="Times New Roman" w:hAnsi="Times New Roman" w:cs="Times New Roman"/>
          <w:sz w:val="24"/>
          <w:szCs w:val="24"/>
        </w:rPr>
        <w:t>роект Центрального Банка РФ и Министерства Финансов.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EB0">
        <w:rPr>
          <w:rFonts w:ascii="Times New Roman" w:hAnsi="Times New Roman" w:cs="Times New Roman"/>
          <w:sz w:val="24"/>
          <w:szCs w:val="24"/>
        </w:rPr>
        <w:t xml:space="preserve">Участниками этой стратегии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95EB0">
        <w:rPr>
          <w:rFonts w:ascii="Times New Roman" w:hAnsi="Times New Roman" w:cs="Times New Roman"/>
          <w:sz w:val="24"/>
          <w:szCs w:val="24"/>
        </w:rPr>
        <w:t xml:space="preserve">являются, </w:t>
      </w:r>
      <w:proofErr w:type="spellStart"/>
      <w:r w:rsidRPr="00795EB0">
        <w:rPr>
          <w:rFonts w:ascii="Times New Roman" w:hAnsi="Times New Roman" w:cs="Times New Roman"/>
          <w:sz w:val="24"/>
          <w:szCs w:val="24"/>
        </w:rPr>
        <w:t>Минобр</w:t>
      </w:r>
      <w:r w:rsidR="00A51150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A51150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795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EB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A51150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795EB0">
        <w:rPr>
          <w:rFonts w:ascii="Times New Roman" w:hAnsi="Times New Roman" w:cs="Times New Roman"/>
          <w:sz w:val="24"/>
          <w:szCs w:val="24"/>
        </w:rPr>
        <w:t xml:space="preserve">, </w:t>
      </w:r>
      <w:r w:rsidR="00A51150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Пенсионный фон</w:t>
      </w:r>
      <w:r w:rsidR="0070583A">
        <w:rPr>
          <w:rFonts w:ascii="Times New Roman" w:hAnsi="Times New Roman" w:cs="Times New Roman"/>
          <w:sz w:val="24"/>
          <w:szCs w:val="24"/>
        </w:rPr>
        <w:t>д</w:t>
      </w:r>
      <w:r w:rsidR="00A51150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70583A">
        <w:rPr>
          <w:rFonts w:ascii="Times New Roman" w:hAnsi="Times New Roman" w:cs="Times New Roman"/>
          <w:sz w:val="24"/>
          <w:szCs w:val="24"/>
        </w:rPr>
        <w:t>Федерации</w:t>
      </w:r>
      <w:r w:rsidR="00A51150">
        <w:rPr>
          <w:rFonts w:ascii="Times New Roman" w:hAnsi="Times New Roman" w:cs="Times New Roman"/>
          <w:sz w:val="24"/>
          <w:szCs w:val="24"/>
        </w:rPr>
        <w:t xml:space="preserve">, органы исполнительной власти субъектов Российской Федерации, </w:t>
      </w:r>
      <w:r w:rsidRPr="00795EB0">
        <w:rPr>
          <w:rFonts w:ascii="Times New Roman" w:hAnsi="Times New Roman" w:cs="Times New Roman"/>
          <w:sz w:val="24"/>
          <w:szCs w:val="24"/>
        </w:rPr>
        <w:t>Федеральные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центры, Ассоциация по развитию финансовой </w:t>
      </w:r>
      <w:r w:rsidRPr="00795EB0">
        <w:rPr>
          <w:rFonts w:ascii="Times New Roman" w:hAnsi="Times New Roman" w:cs="Times New Roman"/>
          <w:sz w:val="24"/>
          <w:szCs w:val="24"/>
        </w:rPr>
        <w:t>грамотности</w:t>
      </w:r>
      <w:r w:rsidR="006C67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6C67E5">
        <w:rPr>
          <w:rFonts w:ascii="Times New Roman" w:hAnsi="Times New Roman" w:cs="Times New Roman"/>
          <w:sz w:val="24"/>
          <w:szCs w:val="24"/>
        </w:rPr>
        <w:t>д.</w:t>
      </w:r>
      <w:r w:rsidR="00D14E2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D14E23">
        <w:rPr>
          <w:rFonts w:ascii="Times New Roman" w:hAnsi="Times New Roman" w:cs="Times New Roman"/>
          <w:sz w:val="24"/>
          <w:szCs w:val="24"/>
        </w:rPr>
        <w:t>.</w:t>
      </w:r>
      <w:r w:rsidRPr="00795E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5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EA" w:rsidRDefault="00D14E23" w:rsidP="0070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участники</w:t>
      </w:r>
      <w:r w:rsidR="0065256F">
        <w:rPr>
          <w:rFonts w:ascii="Times New Roman" w:hAnsi="Times New Roman" w:cs="Times New Roman"/>
          <w:sz w:val="24"/>
          <w:szCs w:val="24"/>
        </w:rPr>
        <w:t>, после проведения огромной, фундаментальной, методической</w:t>
      </w:r>
      <w:r w:rsidR="00CF7622">
        <w:rPr>
          <w:rFonts w:ascii="Times New Roman" w:hAnsi="Times New Roman" w:cs="Times New Roman"/>
          <w:sz w:val="24"/>
          <w:szCs w:val="24"/>
        </w:rPr>
        <w:t>, просветительской</w:t>
      </w:r>
      <w:r w:rsidR="0065256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5698C">
        <w:rPr>
          <w:rFonts w:ascii="Times New Roman" w:hAnsi="Times New Roman" w:cs="Times New Roman"/>
          <w:sz w:val="24"/>
          <w:szCs w:val="24"/>
        </w:rPr>
        <w:t xml:space="preserve">ы, </w:t>
      </w:r>
      <w:r w:rsidR="00535230" w:rsidRPr="00795EB0">
        <w:rPr>
          <w:rFonts w:ascii="Times New Roman" w:hAnsi="Times New Roman" w:cs="Times New Roman"/>
          <w:sz w:val="24"/>
          <w:szCs w:val="24"/>
        </w:rPr>
        <w:t>вступили во второй этап реализации Стратегии</w:t>
      </w:r>
      <w:r w:rsidR="00CF7622">
        <w:rPr>
          <w:rFonts w:ascii="Times New Roman" w:hAnsi="Times New Roman" w:cs="Times New Roman"/>
          <w:sz w:val="24"/>
          <w:szCs w:val="24"/>
        </w:rPr>
        <w:t xml:space="preserve"> – это внедрение и мониторинг в системе образования – формирования основ финансовой грамотности. </w:t>
      </w:r>
    </w:p>
    <w:p w:rsidR="005A4173" w:rsidRDefault="005A4173" w:rsidP="00A5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83A" w:rsidRDefault="0070583A" w:rsidP="00A5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73" w:rsidRDefault="00CF7622" w:rsidP="00A51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предусматривает</w:t>
      </w:r>
      <w:r w:rsidR="007F0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 мероприятия, как</w:t>
      </w:r>
      <w:r w:rsidR="00E15A07">
        <w:rPr>
          <w:rFonts w:ascii="Times New Roman" w:hAnsi="Times New Roman" w:cs="Times New Roman"/>
          <w:sz w:val="24"/>
          <w:szCs w:val="24"/>
        </w:rPr>
        <w:t xml:space="preserve">: внедрение основных образовательных программ в области </w:t>
      </w:r>
      <w:proofErr w:type="spellStart"/>
      <w:r w:rsidR="00E15A07">
        <w:rPr>
          <w:rFonts w:ascii="Times New Roman" w:hAnsi="Times New Roman" w:cs="Times New Roman"/>
          <w:sz w:val="24"/>
          <w:szCs w:val="24"/>
        </w:rPr>
        <w:t>финграмотности</w:t>
      </w:r>
      <w:proofErr w:type="spellEnd"/>
      <w:r w:rsidR="00E15A07">
        <w:rPr>
          <w:rFonts w:ascii="Times New Roman" w:hAnsi="Times New Roman" w:cs="Times New Roman"/>
          <w:sz w:val="24"/>
          <w:szCs w:val="24"/>
        </w:rPr>
        <w:t xml:space="preserve"> на уровне начального и основного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включение компетенции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</w:t>
      </w:r>
      <w:r w:rsidR="00E15A0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рамотности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федеральные </w:t>
      </w:r>
      <w:r w:rsidR="0065256F" w:rsidRPr="00535230">
        <w:rPr>
          <w:rFonts w:ascii="Times New Roman" w:hAnsi="Times New Roman" w:cs="Times New Roman"/>
          <w:sz w:val="24"/>
          <w:szCs w:val="24"/>
        </w:rPr>
        <w:t>образовательные стандарты ФГОС</w:t>
      </w:r>
      <w:r w:rsidR="0065256F">
        <w:rPr>
          <w:rFonts w:ascii="Times New Roman" w:hAnsi="Times New Roman" w:cs="Times New Roman"/>
          <w:sz w:val="24"/>
          <w:szCs w:val="24"/>
        </w:rPr>
        <w:t>,</w:t>
      </w:r>
      <w:r w:rsidR="0065256F" w:rsidRPr="00535230">
        <w:rPr>
          <w:rFonts w:ascii="Times New Roman" w:hAnsi="Times New Roman" w:cs="Times New Roman"/>
          <w:sz w:val="24"/>
          <w:szCs w:val="24"/>
        </w:rPr>
        <w:t xml:space="preserve"> </w:t>
      </w:r>
      <w:r w:rsidR="00E15A07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A51150" w:rsidRPr="00535230">
        <w:rPr>
          <w:rFonts w:ascii="Times New Roman" w:hAnsi="Times New Roman" w:cs="Times New Roman"/>
          <w:sz w:val="24"/>
          <w:szCs w:val="24"/>
        </w:rPr>
        <w:t>студентов педагогических специальностей</w:t>
      </w:r>
      <w:r w:rsidR="00E15A07">
        <w:rPr>
          <w:rFonts w:ascii="Times New Roman" w:hAnsi="Times New Roman" w:cs="Times New Roman"/>
          <w:sz w:val="24"/>
          <w:szCs w:val="24"/>
        </w:rPr>
        <w:t xml:space="preserve">, повышение квалификации педагогов общеобразовательных и </w:t>
      </w:r>
      <w:r w:rsidR="005A4173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E15A07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5A4173">
        <w:rPr>
          <w:rFonts w:ascii="Times New Roman" w:hAnsi="Times New Roman" w:cs="Times New Roman"/>
          <w:sz w:val="24"/>
          <w:szCs w:val="24"/>
        </w:rPr>
        <w:t>.</w:t>
      </w:r>
    </w:p>
    <w:p w:rsidR="00535230" w:rsidRDefault="00535230" w:rsidP="005352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C1B6D" w:rsidRPr="003C1B6D" w:rsidRDefault="003C1B6D" w:rsidP="003C1B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C1B6D">
        <w:rPr>
          <w:rFonts w:ascii="Times New Roman" w:hAnsi="Times New Roman" w:cs="Times New Roman"/>
          <w:b/>
          <w:sz w:val="24"/>
          <w:szCs w:val="24"/>
        </w:rPr>
        <w:t>В Иркутской области специалисты консультационного центра и консультационных пунктов ФБУЗ «Центр гигиены и эпидемиологии в Иркутской области»</w:t>
      </w:r>
      <w:r w:rsidR="0051135E">
        <w:rPr>
          <w:rFonts w:ascii="Times New Roman" w:hAnsi="Times New Roman" w:cs="Times New Roman"/>
          <w:sz w:val="24"/>
          <w:szCs w:val="24"/>
        </w:rPr>
        <w:t xml:space="preserve"> к Всемирному дню</w:t>
      </w:r>
      <w:r w:rsidRPr="003C1B6D">
        <w:rPr>
          <w:rFonts w:ascii="Times New Roman" w:hAnsi="Times New Roman" w:cs="Times New Roman"/>
          <w:sz w:val="24"/>
          <w:szCs w:val="24"/>
        </w:rPr>
        <w:t xml:space="preserve"> прав потребителей ежегодно проводят различные просветительские мероприятия, такие как: </w:t>
      </w:r>
    </w:p>
    <w:p w:rsidR="003C1B6D" w:rsidRPr="003C1B6D" w:rsidRDefault="003C1B6D" w:rsidP="003C1B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6D">
        <w:rPr>
          <w:rFonts w:ascii="Times New Roman" w:hAnsi="Times New Roman" w:cs="Times New Roman"/>
          <w:sz w:val="24"/>
          <w:szCs w:val="24"/>
        </w:rPr>
        <w:t xml:space="preserve">- </w:t>
      </w: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защиты прав потребителей при приобретении товаров, оказании услуг в постоянном режиме </w:t>
      </w:r>
      <w:r w:rsidR="005A4173"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проведения «</w:t>
      </w:r>
      <w:r w:rsidR="005A41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орячих линий»;</w:t>
      </w:r>
    </w:p>
    <w:p w:rsidR="003C1B6D" w:rsidRPr="003C1B6D" w:rsidRDefault="003C1B6D" w:rsidP="003C1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B6D">
        <w:rPr>
          <w:rFonts w:ascii="Times New Roman" w:hAnsi="Times New Roman" w:cs="Times New Roman"/>
          <w:sz w:val="24"/>
          <w:szCs w:val="24"/>
        </w:rPr>
        <w:t>-  беседы, лекции, семинары, уроки-практику</w:t>
      </w:r>
      <w:bookmarkStart w:id="0" w:name="_GoBack"/>
      <w:bookmarkEnd w:id="0"/>
      <w:r w:rsidRPr="003C1B6D">
        <w:rPr>
          <w:rFonts w:ascii="Times New Roman" w:hAnsi="Times New Roman" w:cs="Times New Roman"/>
          <w:sz w:val="24"/>
          <w:szCs w:val="24"/>
        </w:rPr>
        <w:t xml:space="preserve">мы, по общим вопросам в сфере защиты прав потребителей, а </w:t>
      </w:r>
      <w:r w:rsidR="005A4173" w:rsidRPr="003C1B6D">
        <w:rPr>
          <w:rFonts w:ascii="Times New Roman" w:hAnsi="Times New Roman" w:cs="Times New Roman"/>
          <w:sz w:val="24"/>
          <w:szCs w:val="24"/>
        </w:rPr>
        <w:t>также</w:t>
      </w:r>
      <w:r w:rsidRPr="003C1B6D">
        <w:rPr>
          <w:rFonts w:ascii="Times New Roman" w:hAnsi="Times New Roman" w:cs="Times New Roman"/>
          <w:sz w:val="24"/>
          <w:szCs w:val="24"/>
        </w:rPr>
        <w:t xml:space="preserve"> по вопросам темы Всемирного дня прав потребителей в школах, средних и высших учебных заведениях, библиотеках, торговых предприятиях, а также для граждан социально-ориентированных организаций -  советов ветеранов, «женсоветов» и иных организаций</w:t>
      </w:r>
      <w:r w:rsidR="0070583A">
        <w:rPr>
          <w:rFonts w:ascii="Times New Roman" w:hAnsi="Times New Roman" w:cs="Times New Roman"/>
          <w:sz w:val="24"/>
          <w:szCs w:val="24"/>
        </w:rPr>
        <w:t>.</w:t>
      </w:r>
    </w:p>
    <w:p w:rsidR="003C1B6D" w:rsidRPr="003C1B6D" w:rsidRDefault="003C1B6D" w:rsidP="003C1B6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1B6D" w:rsidRDefault="003C1B6D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</w:t>
      </w:r>
      <w:r w:rsidR="005A4173"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желаете</w:t>
      </w: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173"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 уровень</w:t>
      </w: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173"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потребительской грамотности</w:t>
      </w: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прав потребителей мы рады сотрудничать с Вами.</w:t>
      </w:r>
    </w:p>
    <w:p w:rsidR="0070583A" w:rsidRPr="003C1B6D" w:rsidRDefault="0070583A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6D" w:rsidRPr="003C1B6D" w:rsidRDefault="003C1B6D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5A4173"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проводятся</w:t>
      </w: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основе, по предварительной записи.</w:t>
      </w:r>
    </w:p>
    <w:p w:rsidR="003C1B6D" w:rsidRPr="003C1B6D" w:rsidRDefault="003C1B6D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6D" w:rsidRPr="003C1B6D" w:rsidRDefault="003C1B6D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C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заявки  направлять  </w:t>
      </w:r>
      <w:r w:rsidRPr="003C1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адрес электронной почты</w:t>
      </w:r>
      <w:r w:rsidRPr="003C1B6D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  <w:t>:</w:t>
      </w:r>
      <w:r w:rsidRPr="003C1B6D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 xml:space="preserve"> </w:t>
      </w:r>
      <w:hyperlink r:id="rId5" w:history="1">
        <w:r w:rsidRPr="003C1B6D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zpp</w:t>
        </w:r>
        <w:r w:rsidRPr="003C1B6D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@</w:t>
        </w:r>
        <w:r w:rsidRPr="003C1B6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seso</w:t>
        </w:r>
        <w:r w:rsidRPr="003C1B6D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irk</w:t>
        </w:r>
        <w:r w:rsidRPr="003C1B6D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r w:rsidRPr="003C1B6D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irkutsk</w:t>
        </w:r>
        <w:r w:rsidRPr="003C1B6D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C1B6D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C1B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или по телефону:</w:t>
      </w:r>
      <w:r w:rsidRPr="003C1B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8 (395-2) 22-23-88, 63-66-22.</w:t>
      </w:r>
    </w:p>
    <w:p w:rsidR="003C1B6D" w:rsidRPr="003C1B6D" w:rsidRDefault="003C1B6D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1B6D" w:rsidRPr="003C1B6D" w:rsidRDefault="003C1B6D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C1B6D">
        <w:rPr>
          <w:rFonts w:ascii="Times New Roman" w:hAnsi="Times New Roman" w:cs="Times New Roman"/>
          <w:bCs/>
          <w:iCs/>
          <w:sz w:val="24"/>
          <w:szCs w:val="24"/>
        </w:rPr>
        <w:t>Адрес консультационного центра по защите прав потребителей:</w:t>
      </w:r>
    </w:p>
    <w:p w:rsidR="003C1B6D" w:rsidRPr="003C1B6D" w:rsidRDefault="003C1B6D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B6D">
        <w:rPr>
          <w:rFonts w:ascii="Times New Roman" w:hAnsi="Times New Roman" w:cs="Times New Roman"/>
          <w:b/>
          <w:sz w:val="24"/>
          <w:szCs w:val="24"/>
        </w:rPr>
        <w:t xml:space="preserve">г. Иркутск, ул. </w:t>
      </w:r>
      <w:proofErr w:type="spellStart"/>
      <w:r w:rsidRPr="003C1B6D">
        <w:rPr>
          <w:rFonts w:ascii="Times New Roman" w:hAnsi="Times New Roman" w:cs="Times New Roman"/>
          <w:b/>
          <w:sz w:val="24"/>
          <w:szCs w:val="24"/>
        </w:rPr>
        <w:t>Трилиссера</w:t>
      </w:r>
      <w:proofErr w:type="spellEnd"/>
      <w:r w:rsidRPr="003C1B6D">
        <w:rPr>
          <w:rFonts w:ascii="Times New Roman" w:hAnsi="Times New Roman" w:cs="Times New Roman"/>
          <w:b/>
          <w:sz w:val="24"/>
          <w:szCs w:val="24"/>
        </w:rPr>
        <w:t xml:space="preserve"> 51, </w:t>
      </w:r>
      <w:proofErr w:type="spellStart"/>
      <w:r w:rsidRPr="003C1B6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3C1B6D">
        <w:rPr>
          <w:rFonts w:ascii="Times New Roman" w:hAnsi="Times New Roman" w:cs="Times New Roman"/>
          <w:b/>
          <w:sz w:val="24"/>
          <w:szCs w:val="24"/>
        </w:rPr>
        <w:t>. 113</w:t>
      </w:r>
    </w:p>
    <w:p w:rsidR="003C1B6D" w:rsidRPr="003C1B6D" w:rsidRDefault="003C1B6D" w:rsidP="003C1B6D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1B6D">
        <w:rPr>
          <w:rFonts w:ascii="Times New Roman" w:hAnsi="Times New Roman" w:cs="Times New Roman"/>
          <w:b/>
          <w:sz w:val="24"/>
          <w:szCs w:val="24"/>
        </w:rPr>
        <w:t>г.Иркутск</w:t>
      </w:r>
      <w:proofErr w:type="spellEnd"/>
      <w:r w:rsidRPr="003C1B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1B6D">
        <w:rPr>
          <w:rFonts w:ascii="Times New Roman" w:hAnsi="Times New Roman" w:cs="Times New Roman"/>
          <w:b/>
          <w:sz w:val="24"/>
          <w:szCs w:val="24"/>
        </w:rPr>
        <w:t>ул.Пушкина</w:t>
      </w:r>
      <w:proofErr w:type="spellEnd"/>
      <w:r w:rsidRPr="003C1B6D">
        <w:rPr>
          <w:rFonts w:ascii="Times New Roman" w:hAnsi="Times New Roman" w:cs="Times New Roman"/>
          <w:b/>
          <w:sz w:val="24"/>
          <w:szCs w:val="24"/>
        </w:rPr>
        <w:t xml:space="preserve">, 8, </w:t>
      </w:r>
      <w:proofErr w:type="spellStart"/>
      <w:r w:rsidRPr="003C1B6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3C1B6D">
        <w:rPr>
          <w:rFonts w:ascii="Times New Roman" w:hAnsi="Times New Roman" w:cs="Times New Roman"/>
          <w:b/>
          <w:sz w:val="24"/>
          <w:szCs w:val="24"/>
        </w:rPr>
        <w:t>. 404</w:t>
      </w:r>
    </w:p>
    <w:p w:rsidR="003C1B6D" w:rsidRPr="003C1B6D" w:rsidRDefault="003C1B6D" w:rsidP="003C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ru-RU"/>
        </w:rPr>
      </w:pPr>
    </w:p>
    <w:p w:rsidR="003C1B6D" w:rsidRPr="003C1B6D" w:rsidRDefault="003C1B6D" w:rsidP="003C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ru-RU"/>
        </w:rPr>
      </w:pPr>
    </w:p>
    <w:p w:rsidR="003C1B6D" w:rsidRPr="003C1B6D" w:rsidRDefault="003C1B6D" w:rsidP="003C1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ru-RU"/>
        </w:rPr>
      </w:pPr>
    </w:p>
    <w:p w:rsidR="003C1B6D" w:rsidRPr="0015467B" w:rsidRDefault="003C1B6D" w:rsidP="0028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B6D" w:rsidRPr="0015467B" w:rsidSect="005352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1908"/>
    <w:multiLevelType w:val="multilevel"/>
    <w:tmpl w:val="0CB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5C"/>
    <w:rsid w:val="000425CA"/>
    <w:rsid w:val="0015467B"/>
    <w:rsid w:val="00280B5C"/>
    <w:rsid w:val="003C1B6D"/>
    <w:rsid w:val="003D1E3F"/>
    <w:rsid w:val="0051135E"/>
    <w:rsid w:val="00535230"/>
    <w:rsid w:val="005A4173"/>
    <w:rsid w:val="005D2B41"/>
    <w:rsid w:val="005D4A23"/>
    <w:rsid w:val="0065256F"/>
    <w:rsid w:val="00681A11"/>
    <w:rsid w:val="006C67E5"/>
    <w:rsid w:val="0070583A"/>
    <w:rsid w:val="00782CFC"/>
    <w:rsid w:val="00795EB0"/>
    <w:rsid w:val="00797D05"/>
    <w:rsid w:val="007F06EA"/>
    <w:rsid w:val="008240E1"/>
    <w:rsid w:val="0090403A"/>
    <w:rsid w:val="00A51150"/>
    <w:rsid w:val="00A54E97"/>
    <w:rsid w:val="00BA1F51"/>
    <w:rsid w:val="00BC208A"/>
    <w:rsid w:val="00CD4829"/>
    <w:rsid w:val="00CF7622"/>
    <w:rsid w:val="00D14E23"/>
    <w:rsid w:val="00E15A07"/>
    <w:rsid w:val="00EA0FF8"/>
    <w:rsid w:val="00F44F87"/>
    <w:rsid w:val="00F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0D5F"/>
  <w15:chartTrackingRefBased/>
  <w15:docId w15:val="{75522F64-81B3-4BBA-9DC5-4FFE949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B41"/>
    <w:rPr>
      <w:color w:val="0000FF"/>
      <w:u w:val="single"/>
    </w:rPr>
  </w:style>
  <w:style w:type="character" w:customStyle="1" w:styleId="markedcontent">
    <w:name w:val="markedcontent"/>
    <w:basedOn w:val="a0"/>
    <w:rsid w:val="00BA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sesoirk.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2022-02-22T02:43:00Z</dcterms:created>
  <dcterms:modified xsi:type="dcterms:W3CDTF">2022-02-24T02:00:00Z</dcterms:modified>
</cp:coreProperties>
</file>